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891" w:rsidRDefault="00540891" w:rsidP="00540891">
      <w:pPr>
        <w:spacing w:line="560" w:lineRule="exact"/>
        <w:jc w:val="left"/>
        <w:rPr>
          <w:rFonts w:ascii="黑体" w:eastAsia="黑体" w:hAnsi="黑体" w:cs="黑体"/>
          <w:sz w:val="32"/>
          <w:szCs w:val="32"/>
        </w:rPr>
      </w:pPr>
      <w:r>
        <w:rPr>
          <w:rFonts w:ascii="黑体" w:eastAsia="黑体" w:hAnsi="黑体" w:cs="黑体" w:hint="eastAsia"/>
          <w:sz w:val="32"/>
          <w:szCs w:val="32"/>
        </w:rPr>
        <w:t>附件</w:t>
      </w:r>
    </w:p>
    <w:p w:rsidR="00540891" w:rsidRDefault="00540891" w:rsidP="00540891">
      <w:pPr>
        <w:spacing w:line="560" w:lineRule="exact"/>
        <w:jc w:val="left"/>
        <w:rPr>
          <w:rFonts w:ascii="黑体" w:eastAsia="黑体" w:hAnsi="黑体" w:cs="黑体"/>
          <w:sz w:val="32"/>
          <w:szCs w:val="32"/>
        </w:rPr>
      </w:pPr>
    </w:p>
    <w:p w:rsidR="00540891" w:rsidRDefault="00540891" w:rsidP="00540891">
      <w:pPr>
        <w:spacing w:line="56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华夏银行深圳分行金融服务方案</w:t>
      </w:r>
    </w:p>
    <w:bookmarkEnd w:id="0"/>
    <w:p w:rsidR="00540891" w:rsidRDefault="00540891" w:rsidP="00540891">
      <w:pPr>
        <w:spacing w:line="560" w:lineRule="exact"/>
        <w:ind w:firstLineChars="200" w:firstLine="640"/>
        <w:rPr>
          <w:rFonts w:ascii="微软简仿宋" w:eastAsia="微软简仿宋" w:hAnsi="微软简仿宋" w:cs="微软简仿宋"/>
          <w:sz w:val="32"/>
          <w:szCs w:val="32"/>
        </w:rPr>
      </w:pPr>
    </w:p>
    <w:p w:rsidR="00540891" w:rsidRPr="00E023AF" w:rsidRDefault="00540891" w:rsidP="00540891">
      <w:pPr>
        <w:spacing w:line="560" w:lineRule="exact"/>
        <w:ind w:firstLineChars="200" w:firstLine="640"/>
        <w:rPr>
          <w:rFonts w:ascii="仿宋_GB2312" w:eastAsia="仿宋_GB2312" w:hAnsi="仿宋_GB2312" w:cs="仿宋_GB2312"/>
          <w:sz w:val="32"/>
          <w:szCs w:val="32"/>
        </w:rPr>
      </w:pPr>
      <w:r w:rsidRPr="00E023AF">
        <w:rPr>
          <w:rFonts w:ascii="仿宋_GB2312" w:eastAsia="仿宋_GB2312" w:hAnsi="仿宋_GB2312" w:cs="仿宋_GB2312"/>
          <w:sz w:val="32"/>
          <w:szCs w:val="32"/>
        </w:rPr>
        <w:t>为进一步加大对全市外贸、外资等企业的金融</w:t>
      </w:r>
      <w:r>
        <w:rPr>
          <w:rFonts w:ascii="仿宋_GB2312" w:eastAsia="仿宋_GB2312" w:hAnsi="仿宋_GB2312" w:cs="仿宋_GB2312" w:hint="eastAsia"/>
          <w:sz w:val="32"/>
          <w:szCs w:val="32"/>
        </w:rPr>
        <w:t>服务</w:t>
      </w:r>
      <w:r w:rsidRPr="00E023AF">
        <w:rPr>
          <w:rFonts w:ascii="仿宋_GB2312" w:eastAsia="仿宋_GB2312" w:hAnsi="仿宋_GB2312" w:cs="仿宋_GB2312"/>
          <w:sz w:val="32"/>
          <w:szCs w:val="32"/>
        </w:rPr>
        <w:t>力度，</w:t>
      </w:r>
      <w:r>
        <w:rPr>
          <w:rFonts w:ascii="仿宋_GB2312" w:eastAsia="仿宋_GB2312" w:hAnsi="仿宋_GB2312" w:cs="仿宋_GB2312" w:hint="eastAsia"/>
          <w:sz w:val="32"/>
          <w:szCs w:val="32"/>
        </w:rPr>
        <w:t>提供多样化的信贷融资等支持，</w:t>
      </w:r>
      <w:r w:rsidRPr="00E023AF">
        <w:rPr>
          <w:rFonts w:ascii="仿宋_GB2312" w:eastAsia="仿宋_GB2312" w:hAnsi="仿宋_GB2312" w:cs="仿宋_GB2312"/>
          <w:sz w:val="32"/>
          <w:szCs w:val="32"/>
        </w:rPr>
        <w:t>华夏银行深圳分行推出“</w:t>
      </w:r>
      <w:r w:rsidRPr="00E023AF">
        <w:rPr>
          <w:rFonts w:ascii="仿宋_GB2312" w:eastAsia="仿宋_GB2312" w:hAnsi="仿宋_GB2312" w:cs="仿宋_GB2312"/>
          <w:b/>
          <w:bCs/>
          <w:sz w:val="32"/>
          <w:szCs w:val="32"/>
        </w:rPr>
        <w:t>点亮鹏城星火,华夏挺你向前</w:t>
      </w:r>
      <w:r w:rsidRPr="00E023AF">
        <w:rPr>
          <w:rFonts w:ascii="仿宋_GB2312" w:eastAsia="仿宋_GB2312" w:hAnsi="仿宋_GB2312" w:cs="仿宋_GB2312"/>
          <w:sz w:val="32"/>
          <w:szCs w:val="32"/>
        </w:rPr>
        <w:t>”系列综合金融服务方案：</w:t>
      </w:r>
    </w:p>
    <w:p w:rsidR="00540891" w:rsidRDefault="00540891" w:rsidP="0054089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一、抗疫专项融资产品及服务</w:t>
      </w:r>
    </w:p>
    <w:p w:rsidR="00540891" w:rsidRDefault="00540891" w:rsidP="00540891">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（一）抗疫复工贷</w:t>
      </w:r>
    </w:p>
    <w:p w:rsidR="00540891" w:rsidRDefault="00540891" w:rsidP="005408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为满足小微企业临时周转需求，提供100万元以内信用贷款，支持其复工复产。</w:t>
      </w:r>
    </w:p>
    <w:p w:rsidR="00540891" w:rsidRDefault="00540891" w:rsidP="00540891">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w:t>
      </w:r>
      <w:r>
        <w:rPr>
          <w:rFonts w:ascii="楷体_GB2312" w:eastAsia="楷体_GB2312" w:hAnsi="楷体_GB2312" w:cs="楷体_GB2312"/>
          <w:sz w:val="32"/>
          <w:szCs w:val="32"/>
        </w:rPr>
        <w:t>医疗抗疫贷</w:t>
      </w:r>
    </w:p>
    <w:p w:rsidR="00540891" w:rsidRDefault="00540891" w:rsidP="005408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对医疗服务、医药科研、卫生防疫、公共卫生基础设施建设</w:t>
      </w:r>
      <w:r>
        <w:rPr>
          <w:rFonts w:ascii="仿宋_GB2312" w:eastAsia="仿宋_GB2312" w:hAnsi="仿宋_GB2312" w:cs="仿宋_GB2312" w:hint="eastAsia"/>
          <w:sz w:val="32"/>
          <w:szCs w:val="32"/>
        </w:rPr>
        <w:t>等</w:t>
      </w:r>
      <w:r>
        <w:rPr>
          <w:rFonts w:ascii="仿宋_GB2312" w:eastAsia="仿宋_GB2312" w:hAnsi="仿宋_GB2312" w:cs="仿宋_GB2312"/>
          <w:sz w:val="32"/>
          <w:szCs w:val="32"/>
        </w:rPr>
        <w:t>抗击疫情相关行业及特需行业</w:t>
      </w:r>
      <w:r>
        <w:rPr>
          <w:rFonts w:ascii="仿宋_GB2312" w:eastAsia="仿宋_GB2312" w:hAnsi="仿宋_GB2312" w:cs="仿宋_GB2312" w:hint="eastAsia"/>
          <w:sz w:val="32"/>
          <w:szCs w:val="32"/>
        </w:rPr>
        <w:t>，推出授信额度1000万的医疗抗疫贷。</w:t>
      </w:r>
    </w:p>
    <w:p w:rsidR="00540891" w:rsidRDefault="00540891" w:rsidP="0054089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二、国际结算产品</w:t>
      </w:r>
    </w:p>
    <w:p w:rsidR="00540891" w:rsidRDefault="00540891" w:rsidP="00540891">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（一）即期结售汇</w:t>
      </w:r>
    </w:p>
    <w:p w:rsidR="00540891" w:rsidRDefault="00540891" w:rsidP="005408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按照当日汇率挂牌价为其办理T（当日）+N起息的即期结售汇业务（N为1或2个工作日），提前锁定汇兑成本，降低汇率风险。</w:t>
      </w:r>
    </w:p>
    <w:p w:rsidR="00540891" w:rsidRDefault="00540891" w:rsidP="00540891">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（二）远期结售汇</w:t>
      </w:r>
    </w:p>
    <w:p w:rsidR="00540891" w:rsidRDefault="00540891" w:rsidP="005408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在汇率双向波动情况下，提前锁定未来某一天或某一期间的币种、汇率、金额，规避未来外汇收支的汇率风险，利用外汇市场变化趋势实现增值收益。</w:t>
      </w:r>
    </w:p>
    <w:p w:rsidR="00540891" w:rsidRDefault="00540891" w:rsidP="00540891">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（三）单一窗口</w:t>
      </w:r>
    </w:p>
    <w:p w:rsidR="00540891" w:rsidRDefault="00540891" w:rsidP="005408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借助“单一窗口”实现电子单证线上审核，为进出口企业提供货贸项下汇出汇款和汇入汇款业务线上办理服务。</w:t>
      </w:r>
    </w:p>
    <w:p w:rsidR="00540891" w:rsidRDefault="00540891" w:rsidP="00540891">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（四）中小企业批量询价</w:t>
      </w:r>
    </w:p>
    <w:p w:rsidR="00540891" w:rsidRDefault="00540891" w:rsidP="005408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给予中小企业批量办理即期结售汇询报价，单笔起点金额：结汇等值20万美元以上、购汇等值40万美元以上。</w:t>
      </w:r>
    </w:p>
    <w:p w:rsidR="00540891" w:rsidRDefault="00540891" w:rsidP="00540891">
      <w:pPr>
        <w:spacing w:line="560" w:lineRule="exact"/>
        <w:ind w:firstLineChars="200" w:firstLine="640"/>
        <w:rPr>
          <w:rFonts w:ascii="微软简仿宋" w:eastAsia="微软简仿宋" w:hAnsi="微软简仿宋" w:cs="微软简仿宋"/>
          <w:sz w:val="32"/>
          <w:szCs w:val="32"/>
        </w:rPr>
      </w:pPr>
      <w:r>
        <w:rPr>
          <w:rFonts w:ascii="黑体" w:eastAsia="黑体" w:hAnsi="黑体" w:cs="黑体" w:hint="eastAsia"/>
          <w:sz w:val="32"/>
          <w:szCs w:val="32"/>
        </w:rPr>
        <w:t>三、跨境担保融资产品</w:t>
      </w:r>
    </w:p>
    <w:p w:rsidR="00540891" w:rsidRDefault="00540891" w:rsidP="00540891">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（一）内保外贷</w:t>
      </w:r>
    </w:p>
    <w:p w:rsidR="00540891" w:rsidRDefault="00540891" w:rsidP="00540891">
      <w:pPr>
        <w:tabs>
          <w:tab w:val="left" w:pos="1276"/>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面向境内企业资金充裕、境外有资金需求的跨国集团企业提供内保外贷业务。</w:t>
      </w:r>
    </w:p>
    <w:p w:rsidR="00540891" w:rsidRDefault="00540891" w:rsidP="00540891">
      <w:pPr>
        <w:spacing w:line="560" w:lineRule="exact"/>
        <w:ind w:firstLineChars="200" w:firstLine="640"/>
        <w:rPr>
          <w:rFonts w:ascii="楷体" w:eastAsia="楷体" w:hAnsi="楷体" w:cs="楷体"/>
          <w:sz w:val="32"/>
          <w:szCs w:val="32"/>
        </w:rPr>
      </w:pPr>
      <w:r>
        <w:rPr>
          <w:rFonts w:ascii="楷体_GB2312" w:eastAsia="楷体_GB2312" w:hAnsi="楷体_GB2312" w:cs="楷体_GB2312" w:hint="eastAsia"/>
          <w:sz w:val="32"/>
          <w:szCs w:val="32"/>
        </w:rPr>
        <w:t>（二）内存FTN贷</w:t>
      </w:r>
    </w:p>
    <w:p w:rsidR="00540891" w:rsidRDefault="00540891" w:rsidP="00540891">
      <w:pPr>
        <w:tabs>
          <w:tab w:val="left" w:pos="1276"/>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面向境内端企业资金充裕、可提供存单质押担保，境外端有资金需求的企业，提供内存FTN贷业务。</w:t>
      </w:r>
    </w:p>
    <w:p w:rsidR="00540891" w:rsidRDefault="00540891" w:rsidP="00540891">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（三）跨境直贷</w:t>
      </w:r>
    </w:p>
    <w:p w:rsidR="00540891" w:rsidRDefault="00540891" w:rsidP="00540891">
      <w:pPr>
        <w:tabs>
          <w:tab w:val="left" w:pos="1276"/>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面对实力较强、有外债额度的境内企业，通过与境外银行或境内银行离岸部门联动，引进境外低成本资金，直接向境内企业放款。</w:t>
      </w:r>
    </w:p>
    <w:p w:rsidR="00540891" w:rsidRDefault="00540891" w:rsidP="00540891">
      <w:pPr>
        <w:spacing w:line="560" w:lineRule="exact"/>
        <w:ind w:left="630"/>
        <w:rPr>
          <w:rFonts w:ascii="黑体" w:eastAsia="黑体" w:hAnsi="黑体" w:cs="黑体"/>
          <w:sz w:val="32"/>
          <w:szCs w:val="32"/>
        </w:rPr>
      </w:pPr>
      <w:r>
        <w:rPr>
          <w:rFonts w:ascii="黑体" w:eastAsia="黑体" w:hAnsi="黑体" w:cs="黑体" w:hint="eastAsia"/>
          <w:sz w:val="32"/>
          <w:szCs w:val="32"/>
        </w:rPr>
        <w:t>四、常规融资产品</w:t>
      </w:r>
    </w:p>
    <w:p w:rsidR="00540891" w:rsidRDefault="00540891" w:rsidP="00540891">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（一）房贷通</w:t>
      </w:r>
    </w:p>
    <w:p w:rsidR="00540891" w:rsidRDefault="00540891" w:rsidP="00540891">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为以房产（住宅、商业用房、厂房）抵押作为担保申请贷款的小微企业、小企业主和个体工商户提供贷款，期限最长可达30年，额度最高2000万。</w:t>
      </w:r>
    </w:p>
    <w:p w:rsidR="00540891" w:rsidRDefault="00540891" w:rsidP="00540891">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（二）华夏快贷</w:t>
      </w:r>
    </w:p>
    <w:p w:rsidR="00540891" w:rsidRDefault="00540891" w:rsidP="005408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为以住宅用房抵押作为担保申请贷款的小微企业、小企</w:t>
      </w:r>
      <w:r>
        <w:rPr>
          <w:rFonts w:ascii="仿宋_GB2312" w:eastAsia="仿宋_GB2312" w:hAnsi="仿宋_GB2312" w:cs="仿宋_GB2312" w:hint="eastAsia"/>
          <w:sz w:val="32"/>
          <w:szCs w:val="32"/>
        </w:rPr>
        <w:lastRenderedPageBreak/>
        <w:t>业主和个体工商户提供快速贷款，期限最长30年，额度最高2000万。</w:t>
      </w:r>
    </w:p>
    <w:p w:rsidR="00540891" w:rsidRDefault="00540891" w:rsidP="00540891">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（三）龙商贷本地版</w:t>
      </w:r>
    </w:p>
    <w:p w:rsidR="00540891" w:rsidRDefault="00540891" w:rsidP="005408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为年龄25周岁至50周岁的小微企业法定代表人及股东、个体工商户经营者提供极速贷款。</w:t>
      </w:r>
    </w:p>
    <w:p w:rsidR="00540891" w:rsidRDefault="00540891" w:rsidP="00540891">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（四）高新技术信用贷</w:t>
      </w:r>
    </w:p>
    <w:p w:rsidR="00540891" w:rsidRDefault="00540891" w:rsidP="005408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为拥有高新技术且成长性较快的科创型小微企业提供信用贷，额度最高可达人民币1000万元。</w:t>
      </w:r>
    </w:p>
    <w:p w:rsidR="00540891" w:rsidRDefault="00540891" w:rsidP="00540891">
      <w:pPr>
        <w:spacing w:line="560" w:lineRule="exact"/>
        <w:ind w:firstLineChars="200" w:firstLine="64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（五）银税通</w:t>
      </w:r>
    </w:p>
    <w:p w:rsidR="00540891" w:rsidRDefault="00540891" w:rsidP="005408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为按时足额纳税、纳税记录良好的小微企业提供无抵押担保贷款。</w:t>
      </w:r>
    </w:p>
    <w:p w:rsidR="00540891" w:rsidRDefault="00540891" w:rsidP="00540891">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（六）银保通</w:t>
      </w:r>
    </w:p>
    <w:p w:rsidR="00540891" w:rsidRDefault="00540891" w:rsidP="005408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为获得保险公司提供保证保险的小微企业提供保单融资。</w:t>
      </w:r>
    </w:p>
    <w:p w:rsidR="00540891" w:rsidRDefault="00540891" w:rsidP="0054089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五、跨境及供应链融资产品</w:t>
      </w:r>
    </w:p>
    <w:p w:rsidR="00540891" w:rsidRDefault="00540891" w:rsidP="00540891">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（一）跨境贸易融资</w:t>
      </w:r>
    </w:p>
    <w:p w:rsidR="00540891" w:rsidRDefault="00540891" w:rsidP="00540891">
      <w:pPr>
        <w:tabs>
          <w:tab w:val="left" w:pos="1276"/>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在跨境交易中，为有进出口贸易背景且有资金或避险需求的企业提供订单融资、打包贷款、进出口代付、押汇、保付、国际保理、国际福费廷、进口增利赢、融资避险赢、出口存汇赢、进口存汇赢等服务。</w:t>
      </w:r>
    </w:p>
    <w:p w:rsidR="00540891" w:rsidRDefault="00540891" w:rsidP="00540891">
      <w:pPr>
        <w:tabs>
          <w:tab w:val="left" w:pos="1276"/>
        </w:tabs>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（二）无追保理/反向保理</w:t>
      </w:r>
    </w:p>
    <w:p w:rsidR="00540891" w:rsidRDefault="00540891" w:rsidP="00540891">
      <w:pPr>
        <w:tabs>
          <w:tab w:val="left" w:pos="1276"/>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面对持有优质客户的应收账款但仅凭自身资质难以获得融资小微客户，通过受让应收账款，给予卖方发放保理融资款项。卖方可以共享买方的信用资质申请融资。</w:t>
      </w:r>
    </w:p>
    <w:p w:rsidR="00540891" w:rsidRDefault="00540891" w:rsidP="00540891">
      <w:pPr>
        <w:tabs>
          <w:tab w:val="left" w:pos="1276"/>
        </w:tabs>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（三）商票保贴</w:t>
      </w:r>
    </w:p>
    <w:p w:rsidR="00540891" w:rsidRDefault="00540891" w:rsidP="00540891">
      <w:pPr>
        <w:tabs>
          <w:tab w:val="left" w:pos="1276"/>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供应商（卖方）持有华夏银行认可的商业承兑汇票，可申请办理商票贴现业务。</w:t>
      </w:r>
    </w:p>
    <w:p w:rsidR="00540891" w:rsidRDefault="00540891" w:rsidP="00540891">
      <w:pPr>
        <w:tabs>
          <w:tab w:val="left" w:pos="1276"/>
        </w:tabs>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（四）订单融资</w:t>
      </w:r>
    </w:p>
    <w:p w:rsidR="00540891" w:rsidRDefault="00540891" w:rsidP="00540891">
      <w:pPr>
        <w:tabs>
          <w:tab w:val="left" w:pos="1276"/>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供应商以与政府部门、事业单位等签订的有效订单申请融资，用于采购订单项下的原材料并以该订单的回笼款归还贷款。</w:t>
      </w:r>
    </w:p>
    <w:p w:rsidR="00540891" w:rsidRDefault="00540891" w:rsidP="00540891">
      <w:pPr>
        <w:tabs>
          <w:tab w:val="left" w:pos="1276"/>
        </w:tabs>
        <w:spacing w:line="560" w:lineRule="exact"/>
        <w:ind w:firstLineChars="200" w:firstLine="640"/>
        <w:rPr>
          <w:rFonts w:ascii="仿宋_GB2312" w:eastAsia="仿宋_GB2312" w:hAnsi="仿宋_GB2312" w:cs="仿宋_GB2312"/>
          <w:sz w:val="32"/>
          <w:szCs w:val="32"/>
        </w:rPr>
      </w:pPr>
      <w:r w:rsidRPr="00E023AF">
        <w:rPr>
          <w:rFonts w:ascii="仿宋_GB2312" w:eastAsia="仿宋_GB2312" w:hAnsi="仿宋_GB2312" w:cs="仿宋_GB2312"/>
          <w:sz w:val="32"/>
          <w:szCs w:val="32"/>
        </w:rPr>
        <w:t>以上金融产品和服务由华夏银行深圳分行提供，并负责审贷咨询及方案解释，企业如有需求，可与该行直接对接联系。</w:t>
      </w:r>
    </w:p>
    <w:p w:rsidR="00540891" w:rsidRDefault="00540891" w:rsidP="00540891">
      <w:pPr>
        <w:tabs>
          <w:tab w:val="left" w:pos="1276"/>
        </w:tabs>
        <w:spacing w:line="560" w:lineRule="exact"/>
        <w:ind w:firstLineChars="200" w:firstLine="640"/>
        <w:rPr>
          <w:rFonts w:ascii="微软简仿宋" w:eastAsia="微软简仿宋"/>
          <w:sz w:val="32"/>
          <w:szCs w:val="32"/>
        </w:rPr>
      </w:pPr>
    </w:p>
    <w:p w:rsidR="00540891" w:rsidRDefault="00540891" w:rsidP="0054089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华夏银行深圳分行联系人：</w:t>
      </w:r>
    </w:p>
    <w:tbl>
      <w:tblPr>
        <w:tblStyle w:val="a5"/>
        <w:tblW w:w="8522" w:type="dxa"/>
        <w:tblLayout w:type="fixed"/>
        <w:tblLook w:val="04A0" w:firstRow="1" w:lastRow="0" w:firstColumn="1" w:lastColumn="0" w:noHBand="0" w:noVBand="1"/>
      </w:tblPr>
      <w:tblGrid>
        <w:gridCol w:w="2130"/>
        <w:gridCol w:w="1376"/>
        <w:gridCol w:w="2885"/>
        <w:gridCol w:w="2131"/>
      </w:tblGrid>
      <w:tr w:rsidR="00540891" w:rsidTr="00932D24">
        <w:trPr>
          <w:trHeight w:hRule="exact" w:val="454"/>
        </w:trPr>
        <w:tc>
          <w:tcPr>
            <w:tcW w:w="2130" w:type="dxa"/>
            <w:vAlign w:val="center"/>
          </w:tcPr>
          <w:p w:rsidR="00540891" w:rsidRPr="00E023AF" w:rsidRDefault="00540891" w:rsidP="00932D24">
            <w:pPr>
              <w:widowControl/>
              <w:spacing w:line="560" w:lineRule="exact"/>
              <w:jc w:val="center"/>
              <w:textAlignment w:val="center"/>
              <w:rPr>
                <w:rFonts w:ascii="仿宋_GB2312" w:eastAsia="仿宋_GB2312" w:hAnsi="仿宋_GB2312" w:cs="仿宋_GB2312"/>
                <w:color w:val="000000"/>
                <w:sz w:val="24"/>
                <w:lang w:bidi="ar"/>
              </w:rPr>
            </w:pPr>
            <w:r w:rsidRPr="00E023AF">
              <w:rPr>
                <w:rFonts w:ascii="仿宋_GB2312" w:eastAsia="仿宋_GB2312" w:hAnsi="仿宋_GB2312" w:cs="仿宋_GB2312" w:hint="eastAsia"/>
                <w:color w:val="000000"/>
                <w:sz w:val="24"/>
                <w:lang w:bidi="ar"/>
              </w:rPr>
              <w:t>战略客户部</w:t>
            </w:r>
          </w:p>
        </w:tc>
        <w:tc>
          <w:tcPr>
            <w:tcW w:w="1376" w:type="dxa"/>
            <w:vAlign w:val="center"/>
          </w:tcPr>
          <w:p w:rsidR="00540891" w:rsidRPr="00E023AF" w:rsidRDefault="00540891" w:rsidP="00932D24">
            <w:pPr>
              <w:widowControl/>
              <w:spacing w:line="560" w:lineRule="exact"/>
              <w:jc w:val="center"/>
              <w:textAlignment w:val="center"/>
              <w:rPr>
                <w:rFonts w:ascii="仿宋_GB2312" w:eastAsia="仿宋_GB2312" w:hAnsi="仿宋_GB2312" w:cs="仿宋_GB2312"/>
                <w:color w:val="000000"/>
                <w:sz w:val="24"/>
                <w:lang w:bidi="ar"/>
              </w:rPr>
            </w:pPr>
            <w:r w:rsidRPr="00E023AF">
              <w:rPr>
                <w:rFonts w:ascii="仿宋_GB2312" w:eastAsia="仿宋_GB2312" w:hAnsi="仿宋_GB2312" w:cs="仿宋_GB2312" w:hint="eastAsia"/>
                <w:color w:val="000000"/>
                <w:sz w:val="24"/>
                <w:lang w:bidi="ar"/>
              </w:rPr>
              <w:t>徐大平</w:t>
            </w:r>
          </w:p>
        </w:tc>
        <w:tc>
          <w:tcPr>
            <w:tcW w:w="2885" w:type="dxa"/>
            <w:vAlign w:val="center"/>
          </w:tcPr>
          <w:p w:rsidR="00540891" w:rsidRPr="00E023AF" w:rsidRDefault="00540891" w:rsidP="00932D24">
            <w:pPr>
              <w:widowControl/>
              <w:spacing w:line="560" w:lineRule="exact"/>
              <w:jc w:val="center"/>
              <w:textAlignment w:val="center"/>
              <w:rPr>
                <w:rFonts w:ascii="仿宋_GB2312" w:eastAsia="仿宋_GB2312" w:hAnsi="仿宋_GB2312" w:cs="仿宋_GB2312"/>
                <w:color w:val="000000"/>
                <w:sz w:val="24"/>
                <w:lang w:bidi="ar"/>
              </w:rPr>
            </w:pPr>
            <w:r w:rsidRPr="00E023AF">
              <w:rPr>
                <w:rFonts w:ascii="仿宋_GB2312" w:eastAsia="仿宋_GB2312" w:hAnsi="仿宋_GB2312" w:cs="仿宋_GB2312"/>
                <w:color w:val="000000"/>
                <w:sz w:val="24"/>
                <w:lang w:bidi="ar"/>
              </w:rPr>
              <w:t>0755-83989194</w:t>
            </w:r>
          </w:p>
        </w:tc>
        <w:tc>
          <w:tcPr>
            <w:tcW w:w="2131" w:type="dxa"/>
            <w:vAlign w:val="center"/>
          </w:tcPr>
          <w:p w:rsidR="00540891" w:rsidRPr="00E023AF" w:rsidRDefault="00540891" w:rsidP="00932D24">
            <w:pPr>
              <w:widowControl/>
              <w:spacing w:line="560" w:lineRule="exact"/>
              <w:jc w:val="center"/>
              <w:textAlignment w:val="center"/>
              <w:rPr>
                <w:rFonts w:ascii="仿宋_GB2312" w:eastAsia="仿宋_GB2312" w:hAnsi="仿宋_GB2312" w:cs="仿宋_GB2312"/>
                <w:color w:val="000000"/>
                <w:sz w:val="24"/>
                <w:lang w:bidi="ar"/>
              </w:rPr>
            </w:pPr>
            <w:r w:rsidRPr="00E023AF">
              <w:rPr>
                <w:rFonts w:ascii="仿宋_GB2312" w:eastAsia="仿宋_GB2312" w:hAnsi="仿宋_GB2312" w:cs="仿宋_GB2312"/>
                <w:color w:val="000000"/>
                <w:sz w:val="24"/>
                <w:lang w:bidi="ar"/>
              </w:rPr>
              <w:t>13922810146</w:t>
            </w:r>
          </w:p>
        </w:tc>
      </w:tr>
      <w:tr w:rsidR="00540891" w:rsidTr="00932D24">
        <w:trPr>
          <w:trHeight w:hRule="exact" w:val="454"/>
        </w:trPr>
        <w:tc>
          <w:tcPr>
            <w:tcW w:w="2130" w:type="dxa"/>
            <w:vAlign w:val="center"/>
          </w:tcPr>
          <w:p w:rsidR="00540891" w:rsidRPr="00E023AF" w:rsidRDefault="00540891" w:rsidP="00932D24">
            <w:pPr>
              <w:widowControl/>
              <w:spacing w:line="560" w:lineRule="exact"/>
              <w:jc w:val="center"/>
              <w:textAlignment w:val="center"/>
              <w:rPr>
                <w:rFonts w:ascii="仿宋_GB2312" w:eastAsia="仿宋_GB2312" w:hAnsi="仿宋_GB2312" w:cs="仿宋_GB2312"/>
                <w:color w:val="000000"/>
                <w:sz w:val="24"/>
                <w:lang w:bidi="ar"/>
              </w:rPr>
            </w:pPr>
            <w:r w:rsidRPr="00E023AF">
              <w:rPr>
                <w:rFonts w:ascii="仿宋_GB2312" w:eastAsia="仿宋_GB2312" w:hAnsi="仿宋_GB2312" w:cs="仿宋_GB2312" w:hint="eastAsia"/>
                <w:color w:val="000000"/>
                <w:sz w:val="24"/>
                <w:lang w:bidi="ar"/>
              </w:rPr>
              <w:t>贸易金融部</w:t>
            </w:r>
          </w:p>
        </w:tc>
        <w:tc>
          <w:tcPr>
            <w:tcW w:w="1376" w:type="dxa"/>
            <w:vAlign w:val="center"/>
          </w:tcPr>
          <w:p w:rsidR="00540891" w:rsidRPr="00E023AF" w:rsidRDefault="00540891" w:rsidP="00932D24">
            <w:pPr>
              <w:widowControl/>
              <w:spacing w:line="560" w:lineRule="exact"/>
              <w:jc w:val="center"/>
              <w:textAlignment w:val="center"/>
              <w:rPr>
                <w:rFonts w:ascii="仿宋_GB2312" w:eastAsia="仿宋_GB2312" w:hAnsi="仿宋_GB2312" w:cs="仿宋_GB2312"/>
                <w:color w:val="000000"/>
                <w:sz w:val="24"/>
                <w:lang w:bidi="ar"/>
              </w:rPr>
            </w:pPr>
            <w:r w:rsidRPr="00E023AF">
              <w:rPr>
                <w:rFonts w:ascii="仿宋_GB2312" w:eastAsia="仿宋_GB2312" w:hAnsi="仿宋_GB2312" w:cs="仿宋_GB2312" w:hint="eastAsia"/>
                <w:color w:val="000000"/>
                <w:sz w:val="24"/>
                <w:lang w:bidi="ar"/>
              </w:rPr>
              <w:t>蔡建平</w:t>
            </w:r>
          </w:p>
        </w:tc>
        <w:tc>
          <w:tcPr>
            <w:tcW w:w="2885" w:type="dxa"/>
            <w:vAlign w:val="center"/>
          </w:tcPr>
          <w:p w:rsidR="00540891" w:rsidRPr="00E023AF" w:rsidRDefault="00540891" w:rsidP="00932D24">
            <w:pPr>
              <w:widowControl/>
              <w:spacing w:line="560" w:lineRule="exact"/>
              <w:jc w:val="center"/>
              <w:textAlignment w:val="center"/>
              <w:rPr>
                <w:rFonts w:ascii="仿宋_GB2312" w:eastAsia="仿宋_GB2312" w:hAnsi="仿宋_GB2312" w:cs="仿宋_GB2312"/>
                <w:color w:val="000000"/>
                <w:sz w:val="24"/>
                <w:lang w:bidi="ar"/>
              </w:rPr>
            </w:pPr>
            <w:r w:rsidRPr="00E023AF">
              <w:rPr>
                <w:rFonts w:ascii="仿宋_GB2312" w:eastAsia="仿宋_GB2312" w:hAnsi="仿宋_GB2312" w:cs="仿宋_GB2312"/>
                <w:color w:val="000000"/>
                <w:sz w:val="24"/>
                <w:lang w:bidi="ar"/>
              </w:rPr>
              <w:t>0755-83989042</w:t>
            </w:r>
          </w:p>
        </w:tc>
        <w:tc>
          <w:tcPr>
            <w:tcW w:w="2131" w:type="dxa"/>
            <w:vAlign w:val="center"/>
          </w:tcPr>
          <w:p w:rsidR="00540891" w:rsidRPr="00E023AF" w:rsidRDefault="00540891" w:rsidP="00932D24">
            <w:pPr>
              <w:widowControl/>
              <w:spacing w:line="560" w:lineRule="exact"/>
              <w:jc w:val="center"/>
              <w:textAlignment w:val="center"/>
              <w:rPr>
                <w:rFonts w:ascii="仿宋_GB2312" w:eastAsia="仿宋_GB2312" w:hAnsi="仿宋_GB2312" w:cs="仿宋_GB2312"/>
                <w:color w:val="000000"/>
                <w:sz w:val="24"/>
                <w:lang w:bidi="ar"/>
              </w:rPr>
            </w:pPr>
            <w:r w:rsidRPr="00E023AF">
              <w:rPr>
                <w:rFonts w:ascii="仿宋_GB2312" w:eastAsia="仿宋_GB2312" w:hAnsi="仿宋_GB2312" w:cs="仿宋_GB2312"/>
                <w:color w:val="000000"/>
                <w:sz w:val="24"/>
                <w:lang w:bidi="ar"/>
              </w:rPr>
              <w:t>18825212921</w:t>
            </w:r>
          </w:p>
        </w:tc>
      </w:tr>
      <w:tr w:rsidR="00540891" w:rsidTr="00932D24">
        <w:trPr>
          <w:trHeight w:hRule="exact" w:val="454"/>
        </w:trPr>
        <w:tc>
          <w:tcPr>
            <w:tcW w:w="2130" w:type="dxa"/>
            <w:vAlign w:val="center"/>
          </w:tcPr>
          <w:p w:rsidR="00540891" w:rsidRPr="00E023AF" w:rsidRDefault="00540891" w:rsidP="00932D24">
            <w:pPr>
              <w:widowControl/>
              <w:spacing w:line="560" w:lineRule="exact"/>
              <w:jc w:val="center"/>
              <w:textAlignment w:val="center"/>
              <w:rPr>
                <w:rFonts w:ascii="仿宋_GB2312" w:eastAsia="仿宋_GB2312" w:hAnsi="仿宋_GB2312" w:cs="仿宋_GB2312"/>
                <w:color w:val="000000"/>
                <w:sz w:val="24"/>
                <w:lang w:bidi="ar"/>
              </w:rPr>
            </w:pPr>
            <w:r w:rsidRPr="00E023AF">
              <w:rPr>
                <w:rFonts w:ascii="仿宋_GB2312" w:eastAsia="仿宋_GB2312" w:hAnsi="仿宋_GB2312" w:cs="仿宋_GB2312" w:hint="eastAsia"/>
                <w:color w:val="000000"/>
                <w:sz w:val="24"/>
                <w:lang w:bidi="ar"/>
              </w:rPr>
              <w:t>普惠金融部</w:t>
            </w:r>
          </w:p>
        </w:tc>
        <w:tc>
          <w:tcPr>
            <w:tcW w:w="1376" w:type="dxa"/>
            <w:vAlign w:val="center"/>
          </w:tcPr>
          <w:p w:rsidR="00540891" w:rsidRPr="00E023AF" w:rsidRDefault="00540891" w:rsidP="00932D24">
            <w:pPr>
              <w:widowControl/>
              <w:spacing w:line="560" w:lineRule="exact"/>
              <w:jc w:val="center"/>
              <w:textAlignment w:val="center"/>
              <w:rPr>
                <w:rFonts w:ascii="仿宋_GB2312" w:eastAsia="仿宋_GB2312" w:hAnsi="仿宋_GB2312" w:cs="仿宋_GB2312"/>
                <w:color w:val="000000"/>
                <w:sz w:val="24"/>
                <w:lang w:bidi="ar"/>
              </w:rPr>
            </w:pPr>
            <w:r w:rsidRPr="00E023AF">
              <w:rPr>
                <w:rFonts w:ascii="仿宋_GB2312" w:eastAsia="仿宋_GB2312" w:hAnsi="仿宋_GB2312" w:cs="仿宋_GB2312" w:hint="eastAsia"/>
                <w:color w:val="000000"/>
                <w:sz w:val="24"/>
                <w:lang w:bidi="ar"/>
              </w:rPr>
              <w:t>路勇</w:t>
            </w:r>
          </w:p>
        </w:tc>
        <w:tc>
          <w:tcPr>
            <w:tcW w:w="2885" w:type="dxa"/>
            <w:vAlign w:val="center"/>
          </w:tcPr>
          <w:p w:rsidR="00540891" w:rsidRPr="00E023AF" w:rsidRDefault="00540891" w:rsidP="00932D24">
            <w:pPr>
              <w:widowControl/>
              <w:spacing w:line="560" w:lineRule="exact"/>
              <w:jc w:val="center"/>
              <w:textAlignment w:val="center"/>
              <w:rPr>
                <w:rFonts w:ascii="仿宋_GB2312" w:eastAsia="仿宋_GB2312" w:hAnsi="仿宋_GB2312" w:cs="仿宋_GB2312"/>
                <w:color w:val="000000"/>
                <w:sz w:val="24"/>
                <w:lang w:bidi="ar"/>
              </w:rPr>
            </w:pPr>
            <w:r w:rsidRPr="00E023AF">
              <w:rPr>
                <w:rFonts w:ascii="仿宋_GB2312" w:eastAsia="仿宋_GB2312" w:hAnsi="仿宋_GB2312" w:cs="仿宋_GB2312"/>
                <w:color w:val="000000"/>
                <w:sz w:val="24"/>
                <w:lang w:bidi="ar"/>
              </w:rPr>
              <w:t>0755-83980010</w:t>
            </w:r>
          </w:p>
        </w:tc>
        <w:tc>
          <w:tcPr>
            <w:tcW w:w="2131" w:type="dxa"/>
            <w:vAlign w:val="center"/>
          </w:tcPr>
          <w:p w:rsidR="00540891" w:rsidRPr="00E023AF" w:rsidRDefault="00540891" w:rsidP="00932D24">
            <w:pPr>
              <w:widowControl/>
              <w:spacing w:line="560" w:lineRule="exact"/>
              <w:jc w:val="center"/>
              <w:textAlignment w:val="center"/>
              <w:rPr>
                <w:rFonts w:ascii="仿宋_GB2312" w:eastAsia="仿宋_GB2312" w:hAnsi="仿宋_GB2312" w:cs="仿宋_GB2312"/>
                <w:color w:val="000000"/>
                <w:sz w:val="24"/>
                <w:lang w:bidi="ar"/>
              </w:rPr>
            </w:pPr>
            <w:r w:rsidRPr="00E023AF">
              <w:rPr>
                <w:rFonts w:ascii="仿宋_GB2312" w:eastAsia="仿宋_GB2312" w:hAnsi="仿宋_GB2312" w:cs="仿宋_GB2312"/>
                <w:color w:val="000000"/>
                <w:sz w:val="24"/>
                <w:lang w:bidi="ar"/>
              </w:rPr>
              <w:t>13922834575</w:t>
            </w:r>
          </w:p>
        </w:tc>
      </w:tr>
    </w:tbl>
    <w:p w:rsidR="00540891" w:rsidRDefault="00540891" w:rsidP="00540891">
      <w:pPr>
        <w:spacing w:line="560" w:lineRule="exact"/>
        <w:ind w:firstLineChars="200" w:firstLine="640"/>
        <w:rPr>
          <w:rFonts w:ascii="黑体" w:eastAsia="黑体" w:hAnsi="黑体" w:cs="黑体"/>
          <w:sz w:val="32"/>
          <w:szCs w:val="32"/>
        </w:rPr>
      </w:pPr>
    </w:p>
    <w:p w:rsidR="00540891" w:rsidRDefault="00540891" w:rsidP="0054089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华夏银行深圳分行各辖属机构联系人：</w:t>
      </w:r>
    </w:p>
    <w:tbl>
      <w:tblPr>
        <w:tblpPr w:leftFromText="180" w:rightFromText="180" w:vertAnchor="text" w:horzAnchor="page" w:tblpXSpec="center" w:tblpY="624"/>
        <w:tblOverlap w:val="never"/>
        <w:tblW w:w="7918" w:type="dxa"/>
        <w:jc w:val="center"/>
        <w:tblLayout w:type="fixed"/>
        <w:tblCellMar>
          <w:left w:w="0" w:type="dxa"/>
          <w:right w:w="0" w:type="dxa"/>
        </w:tblCellMar>
        <w:tblLook w:val="04A0" w:firstRow="1" w:lastRow="0" w:firstColumn="1" w:lastColumn="0" w:noHBand="0" w:noVBand="1"/>
      </w:tblPr>
      <w:tblGrid>
        <w:gridCol w:w="1183"/>
        <w:gridCol w:w="2340"/>
        <w:gridCol w:w="2100"/>
        <w:gridCol w:w="2295"/>
      </w:tblGrid>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微软简仿宋" w:eastAsia="微软简仿宋" w:hAnsi="微软简仿宋" w:cs="微软简仿宋"/>
                <w:b/>
                <w:bCs/>
                <w:color w:val="000000"/>
                <w:sz w:val="24"/>
              </w:rPr>
            </w:pPr>
            <w:r>
              <w:rPr>
                <w:rFonts w:ascii="微软简仿宋" w:eastAsia="微软简仿宋" w:hAnsi="微软简仿宋" w:cs="微软简仿宋" w:hint="eastAsia"/>
                <w:b/>
                <w:bCs/>
                <w:color w:val="000000"/>
                <w:kern w:val="0"/>
                <w:sz w:val="24"/>
                <w:lang w:bidi="ar"/>
              </w:rPr>
              <w:t>序号</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微软简仿宋" w:eastAsia="微软简仿宋" w:hAnsi="微软简仿宋" w:cs="微软简仿宋"/>
                <w:b/>
                <w:bCs/>
                <w:color w:val="000000"/>
                <w:sz w:val="24"/>
              </w:rPr>
            </w:pPr>
            <w:r>
              <w:rPr>
                <w:rFonts w:ascii="微软简仿宋" w:eastAsia="微软简仿宋" w:hAnsi="微软简仿宋" w:cs="微软简仿宋" w:hint="eastAsia"/>
                <w:b/>
                <w:bCs/>
                <w:color w:val="000000"/>
                <w:kern w:val="0"/>
                <w:sz w:val="24"/>
                <w:lang w:bidi="ar"/>
              </w:rPr>
              <w:t>机构名称</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微软简仿宋" w:eastAsia="微软简仿宋" w:hAnsi="微软简仿宋" w:cs="微软简仿宋"/>
                <w:b/>
                <w:bCs/>
                <w:color w:val="000000"/>
                <w:sz w:val="24"/>
              </w:rPr>
            </w:pPr>
            <w:r>
              <w:rPr>
                <w:rFonts w:ascii="微软简仿宋" w:eastAsia="微软简仿宋" w:hAnsi="微软简仿宋" w:cs="微软简仿宋" w:hint="eastAsia"/>
                <w:b/>
                <w:bCs/>
                <w:color w:val="000000"/>
                <w:kern w:val="0"/>
                <w:sz w:val="24"/>
                <w:lang w:bidi="ar"/>
              </w:rPr>
              <w:t>姓名</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微软简仿宋" w:eastAsia="微软简仿宋" w:hAnsi="微软简仿宋" w:cs="微软简仿宋"/>
                <w:b/>
                <w:bCs/>
                <w:color w:val="000000"/>
                <w:sz w:val="24"/>
              </w:rPr>
            </w:pPr>
            <w:r>
              <w:rPr>
                <w:rFonts w:ascii="微软简仿宋" w:eastAsia="微软简仿宋" w:hAnsi="微软简仿宋" w:cs="微软简仿宋" w:hint="eastAsia"/>
                <w:b/>
                <w:bCs/>
                <w:color w:val="000000"/>
                <w:kern w:val="0"/>
                <w:sz w:val="24"/>
                <w:lang w:bidi="ar"/>
              </w:rPr>
              <w:t>联系方式</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益田支行</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周玉龙</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15813708788</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前海分行营业部</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杨默</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13510695196</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高新支行</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熊新霞</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18218817696</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科技园支行</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陈能</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13603018842</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分行营业部</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吴恒发</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13922853889</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福田支行</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巴旭东</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13510021039</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泰然支行</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曾艳清</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18818993273</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竹子林支行</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杨景义</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13509681126</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9</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宝安支行</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罗贵阳</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18688738020</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深南支行</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曾碧英</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13802296671</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南园支行</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万莉</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13902956653</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南山支行</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肖弦</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13924661677</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东门支行</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李有政</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13802299877</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天安支行</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何艳城</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18820276666</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布吉支行</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张建钢</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13554774746</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中心区支行</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刘翔</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15889634506</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龙岗支行</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翁文娟</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13480866532</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华强北支行</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陈素卿</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13603088072</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南头支行</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罗梦婷</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13480861802</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龙华支行</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赖璐璐</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13560747024</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21</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蔡屋围支行</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唐文林</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13798457370</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22</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后海支行</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陈沈文</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18680399861</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23</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大浪支行</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王领旭</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15112312578</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24</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沙井支行</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张志能</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13824355150</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25</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坂田支行</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郑睿</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18033085640</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蛇口支行</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邵帅</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15813817796</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27</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建安支行</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伍迅</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18129933555</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28</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坪山支行</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黄静</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18688922989</w:t>
            </w:r>
          </w:p>
        </w:tc>
      </w:tr>
      <w:tr w:rsidR="00540891" w:rsidTr="00932D24">
        <w:trPr>
          <w:trHeight w:hRule="exact" w:val="454"/>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29</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水贝支行</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陈思辉</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0891" w:rsidRDefault="00540891" w:rsidP="00932D24">
            <w:pPr>
              <w:widowControl/>
              <w:spacing w:line="56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13600166922</w:t>
            </w:r>
          </w:p>
        </w:tc>
      </w:tr>
    </w:tbl>
    <w:p w:rsidR="00540891" w:rsidRDefault="00540891" w:rsidP="00540891">
      <w:pPr>
        <w:spacing w:line="560" w:lineRule="exact"/>
        <w:ind w:firstLineChars="200" w:firstLine="640"/>
        <w:rPr>
          <w:rFonts w:ascii="黑体" w:eastAsia="黑体" w:hAnsi="黑体" w:cs="黑体"/>
          <w:sz w:val="32"/>
          <w:szCs w:val="32"/>
          <w:highlight w:val="yellow"/>
        </w:rPr>
      </w:pPr>
    </w:p>
    <w:p w:rsidR="00E844B6" w:rsidRDefault="00C21984"/>
    <w:sectPr w:rsidR="00E844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984" w:rsidRDefault="00C21984" w:rsidP="00540891">
      <w:r>
        <w:separator/>
      </w:r>
    </w:p>
  </w:endnote>
  <w:endnote w:type="continuationSeparator" w:id="0">
    <w:p w:rsidR="00C21984" w:rsidRDefault="00C21984" w:rsidP="0054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简仿宋">
    <w:altName w:val="仿宋"/>
    <w:charset w:val="00"/>
    <w:family w:val="auto"/>
    <w:pitch w:val="default"/>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984" w:rsidRDefault="00C21984" w:rsidP="00540891">
      <w:r>
        <w:separator/>
      </w:r>
    </w:p>
  </w:footnote>
  <w:footnote w:type="continuationSeparator" w:id="0">
    <w:p w:rsidR="00C21984" w:rsidRDefault="00C21984" w:rsidP="00540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1F"/>
    <w:rsid w:val="00540891"/>
    <w:rsid w:val="007B5D01"/>
    <w:rsid w:val="00B201E9"/>
    <w:rsid w:val="00C21984"/>
    <w:rsid w:val="00CA5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C0197A-E2BE-4C9B-BDB6-53102037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89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08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0891"/>
    <w:rPr>
      <w:sz w:val="18"/>
      <w:szCs w:val="18"/>
    </w:rPr>
  </w:style>
  <w:style w:type="paragraph" w:styleId="a4">
    <w:name w:val="footer"/>
    <w:basedOn w:val="a"/>
    <w:link w:val="Char0"/>
    <w:uiPriority w:val="99"/>
    <w:unhideWhenUsed/>
    <w:rsid w:val="00540891"/>
    <w:pPr>
      <w:tabs>
        <w:tab w:val="center" w:pos="4153"/>
        <w:tab w:val="right" w:pos="8306"/>
      </w:tabs>
      <w:snapToGrid w:val="0"/>
      <w:jc w:val="left"/>
    </w:pPr>
    <w:rPr>
      <w:sz w:val="18"/>
      <w:szCs w:val="18"/>
    </w:rPr>
  </w:style>
  <w:style w:type="character" w:customStyle="1" w:styleId="Char0">
    <w:name w:val="页脚 Char"/>
    <w:basedOn w:val="a0"/>
    <w:link w:val="a4"/>
    <w:uiPriority w:val="99"/>
    <w:rsid w:val="00540891"/>
    <w:rPr>
      <w:sz w:val="18"/>
      <w:szCs w:val="18"/>
    </w:rPr>
  </w:style>
  <w:style w:type="table" w:styleId="a5">
    <w:name w:val="Table Grid"/>
    <w:basedOn w:val="a1"/>
    <w:qFormat/>
    <w:rsid w:val="0054089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贤军</dc:creator>
  <cp:keywords/>
  <dc:description/>
  <cp:lastModifiedBy>胡 贤军</cp:lastModifiedBy>
  <cp:revision>2</cp:revision>
  <dcterms:created xsi:type="dcterms:W3CDTF">2020-07-22T01:46:00Z</dcterms:created>
  <dcterms:modified xsi:type="dcterms:W3CDTF">2020-07-22T01:46:00Z</dcterms:modified>
</cp:coreProperties>
</file>