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78" w:rsidRDefault="00CD2278" w:rsidP="00CD2278">
      <w:pPr>
        <w:spacing w:line="560" w:lineRule="exact"/>
        <w:jc w:val="left"/>
        <w:rPr>
          <w:rFonts w:ascii="方正小标宋简体" w:eastAsia="方正小标宋简体" w:hAnsi="方正小标宋简体" w:cs="方正小标宋简体"/>
          <w:b/>
          <w:bCs/>
          <w:sz w:val="44"/>
          <w:szCs w:val="44"/>
        </w:rPr>
      </w:pPr>
      <w:r>
        <w:rPr>
          <w:rFonts w:ascii="黑体" w:eastAsia="黑体" w:hAnsi="黑体" w:cs="黑体" w:hint="eastAsia"/>
          <w:sz w:val="32"/>
          <w:szCs w:val="32"/>
        </w:rPr>
        <w:t>附件3</w:t>
      </w:r>
    </w:p>
    <w:p w:rsidR="00CD2278" w:rsidRPr="003F437F" w:rsidRDefault="00CD2278" w:rsidP="00CD2278">
      <w:pPr>
        <w:spacing w:line="560" w:lineRule="exact"/>
        <w:jc w:val="center"/>
        <w:rPr>
          <w:rFonts w:ascii="方正小标宋简体" w:eastAsia="方正小标宋简体" w:hAnsi="方正小标宋简体" w:cs="方正小标宋简体"/>
          <w:sz w:val="44"/>
          <w:szCs w:val="44"/>
        </w:rPr>
      </w:pPr>
      <w:bookmarkStart w:id="0" w:name="_GoBack"/>
      <w:r w:rsidRPr="003F437F">
        <w:rPr>
          <w:rFonts w:ascii="方正小标宋简体" w:eastAsia="方正小标宋简体" w:hAnsi="方正小标宋简体" w:cs="方正小标宋简体" w:hint="eastAsia"/>
          <w:sz w:val="44"/>
          <w:szCs w:val="44"/>
        </w:rPr>
        <w:t>交通银行深圳分行</w:t>
      </w:r>
      <w:r>
        <w:rPr>
          <w:rFonts w:ascii="方正小标宋简体" w:eastAsia="方正小标宋简体" w:hAnsi="方正小标宋简体" w:cs="方正小标宋简体" w:hint="eastAsia"/>
          <w:sz w:val="44"/>
          <w:szCs w:val="44"/>
        </w:rPr>
        <w:t>支持外经贸企业发展</w:t>
      </w:r>
      <w:r w:rsidRPr="003F437F">
        <w:rPr>
          <w:rFonts w:ascii="方正小标宋简体" w:eastAsia="方正小标宋简体" w:hAnsi="方正小标宋简体" w:cs="方正小标宋简体" w:hint="eastAsia"/>
          <w:sz w:val="44"/>
          <w:szCs w:val="44"/>
        </w:rPr>
        <w:t>金融服务方案</w:t>
      </w:r>
    </w:p>
    <w:bookmarkEnd w:id="0"/>
    <w:p w:rsidR="00CD2278" w:rsidRDefault="00CD2278" w:rsidP="00CD2278">
      <w:pPr>
        <w:spacing w:line="560" w:lineRule="exact"/>
        <w:jc w:val="center"/>
        <w:rPr>
          <w:rFonts w:ascii="方正小标宋简体" w:eastAsia="方正小标宋简体" w:hAnsi="方正小标宋简体" w:cs="方正小标宋简体"/>
          <w:b/>
          <w:bCs/>
          <w:sz w:val="44"/>
          <w:szCs w:val="44"/>
        </w:rPr>
      </w:pPr>
    </w:p>
    <w:p w:rsidR="00CD2278" w:rsidRDefault="00CD2278" w:rsidP="00CD227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交通银行深圳分行认真落实党中央、国务院“稳外资、稳外贸”政策，坚持防疫、发展两手抓，全力保障外资外贸企业融资结算需求，加大对受疫情影响企业的支持力度，帮助企业共克时艰。</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特险通 </w:t>
      </w:r>
      <w:r>
        <w:rPr>
          <w:rFonts w:ascii="仿宋_GB2312" w:eastAsia="仿宋_GB2312" w:hAnsi="仿宋_GB2312" w:cs="仿宋_GB2312" w:hint="eastAsia"/>
          <w:sz w:val="32"/>
          <w:szCs w:val="32"/>
        </w:rPr>
        <w:t>为投保中信保特定合同保险的出口企业提供的融资服务</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出口退税贷</w:t>
      </w:r>
      <w:r>
        <w:rPr>
          <w:rFonts w:ascii="仿宋_GB2312" w:eastAsia="仿宋_GB2312" w:hAnsi="仿宋_GB2312" w:cs="仿宋_GB2312" w:hint="eastAsia"/>
          <w:sz w:val="32"/>
          <w:szCs w:val="32"/>
        </w:rPr>
        <w:t xml:space="preserve"> 解决出口企业退税款未能及时到账而出现资金暂时短缺的问题</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出口发票融资、出口押汇、出口订单融资 </w:t>
      </w:r>
      <w:r>
        <w:rPr>
          <w:rFonts w:ascii="仿宋_GB2312" w:eastAsia="仿宋_GB2312" w:hAnsi="仿宋_GB2312" w:cs="仿宋_GB2312" w:hint="eastAsia"/>
          <w:sz w:val="32"/>
          <w:szCs w:val="32"/>
        </w:rPr>
        <w:t>缓解出口企业经营周转资金压力</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企业税融通、快捷抵押贷</w:t>
      </w:r>
      <w:r>
        <w:rPr>
          <w:rFonts w:ascii="仿宋_GB2312" w:eastAsia="仿宋_GB2312" w:hAnsi="仿宋_GB2312" w:cs="仿宋_GB2312" w:hint="eastAsia"/>
          <w:sz w:val="32"/>
          <w:szCs w:val="32"/>
        </w:rPr>
        <w:t xml:space="preserve"> 解决企业日常生产经营融资需求</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政府采购贷 </w:t>
      </w:r>
      <w:r>
        <w:rPr>
          <w:rFonts w:ascii="仿宋_GB2312" w:eastAsia="仿宋_GB2312" w:hAnsi="仿宋_GB2312" w:cs="仿宋_GB2312" w:hint="eastAsia"/>
          <w:sz w:val="32"/>
          <w:szCs w:val="32"/>
        </w:rPr>
        <w:t>为深圳地区政府采购提供货物、服务供应并为签订政府采购合同的外贸企业提供流动资金贷款支持</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债券承销</w:t>
      </w:r>
      <w:r>
        <w:rPr>
          <w:rFonts w:ascii="仿宋_GB2312" w:eastAsia="仿宋_GB2312" w:hAnsi="仿宋_GB2312" w:cs="仿宋_GB2312" w:hint="eastAsia"/>
          <w:sz w:val="32"/>
          <w:szCs w:val="32"/>
        </w:rPr>
        <w:t xml:space="preserve"> 划拨200亿理财资金专项用于投资深圳担保集团和深圳高新投集团担保发行的债券，支持外贸外资企业发展</w:t>
      </w:r>
    </w:p>
    <w:p w:rsidR="00CD2278" w:rsidRDefault="00CD2278" w:rsidP="00CD2278">
      <w:pPr>
        <w:pStyle w:val="a5"/>
        <w:numPr>
          <w:ilvl w:val="0"/>
          <w:numId w:val="1"/>
        </w:numPr>
        <w:spacing w:line="560" w:lineRule="exact"/>
        <w:ind w:firstLineChars="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单一窗口 </w:t>
      </w:r>
      <w:r>
        <w:rPr>
          <w:rFonts w:ascii="仿宋_GB2312" w:eastAsia="仿宋_GB2312" w:hAnsi="仿宋_GB2312" w:cs="仿宋_GB2312" w:hint="eastAsia"/>
          <w:sz w:val="32"/>
          <w:szCs w:val="32"/>
        </w:rPr>
        <w:t>通过“场景+线上+智能”运用，在线实现“结算+融资”的全链条跨境无纸化金融服务</w:t>
      </w:r>
    </w:p>
    <w:p w:rsidR="00CD2278" w:rsidRDefault="00CD2278" w:rsidP="00CD2278">
      <w:pPr>
        <w:pStyle w:val="a5"/>
        <w:numPr>
          <w:ilvl w:val="0"/>
          <w:numId w:val="1"/>
        </w:numPr>
        <w:spacing w:line="560" w:lineRule="exact"/>
        <w:ind w:firstLineChars="0"/>
        <w:jc w:val="left"/>
        <w:rPr>
          <w:sz w:val="24"/>
        </w:rPr>
      </w:pPr>
      <w:r>
        <w:rPr>
          <w:rFonts w:ascii="仿宋_GB2312" w:eastAsia="仿宋_GB2312" w:hAnsi="仿宋_GB2312" w:cs="仿宋_GB2312" w:hint="eastAsia"/>
          <w:b/>
          <w:bCs/>
          <w:sz w:val="32"/>
          <w:szCs w:val="32"/>
        </w:rPr>
        <w:t>企业网银+企业手机银行+在线客服</w:t>
      </w:r>
      <w:r>
        <w:rPr>
          <w:rFonts w:ascii="仿宋_GB2312" w:eastAsia="仿宋_GB2312" w:hAnsi="仿宋_GB2312" w:cs="仿宋_GB2312" w:hint="eastAsia"/>
          <w:sz w:val="32"/>
          <w:szCs w:val="32"/>
        </w:rPr>
        <w:t xml:space="preserve"> 18项电子化跨境业</w:t>
      </w:r>
      <w:r>
        <w:rPr>
          <w:rFonts w:ascii="仿宋_GB2312" w:eastAsia="仿宋_GB2312" w:hAnsi="仿宋_GB2312" w:cs="仿宋_GB2312" w:hint="eastAsia"/>
          <w:sz w:val="32"/>
          <w:szCs w:val="32"/>
        </w:rPr>
        <w:lastRenderedPageBreak/>
        <w:t>务产品提供更加高效便捷的服务</w:t>
      </w:r>
    </w:p>
    <w:p w:rsidR="00CD2278" w:rsidRDefault="00CD2278" w:rsidP="00CD2278">
      <w:pPr>
        <w:jc w:val="center"/>
        <w:rPr>
          <w:sz w:val="28"/>
          <w:szCs w:val="28"/>
        </w:rPr>
      </w:pPr>
      <w:r>
        <w:rPr>
          <w:rFonts w:hint="eastAsia"/>
          <w:noProof/>
          <w:sz w:val="28"/>
          <w:szCs w:val="28"/>
        </w:rPr>
        <w:drawing>
          <wp:inline distT="0" distB="0" distL="0" distR="0" wp14:anchorId="697E7628" wp14:editId="3387C32F">
            <wp:extent cx="4979035" cy="1759585"/>
            <wp:effectExtent l="0" t="0" r="1206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79035" cy="1759585"/>
                    </a:xfrm>
                    <a:prstGeom prst="rect">
                      <a:avLst/>
                    </a:prstGeom>
                  </pic:spPr>
                </pic:pic>
              </a:graphicData>
            </a:graphic>
          </wp:inline>
        </w:drawing>
      </w:r>
    </w:p>
    <w:tbl>
      <w:tblPr>
        <w:tblW w:w="7441" w:type="dxa"/>
        <w:jc w:val="center"/>
        <w:tblLayout w:type="fixed"/>
        <w:tblLook w:val="04A0" w:firstRow="1" w:lastRow="0" w:firstColumn="1" w:lastColumn="0" w:noHBand="0" w:noVBand="1"/>
      </w:tblPr>
      <w:tblGrid>
        <w:gridCol w:w="2120"/>
        <w:gridCol w:w="932"/>
        <w:gridCol w:w="1229"/>
        <w:gridCol w:w="3160"/>
      </w:tblGrid>
      <w:tr w:rsidR="00CD2278" w:rsidTr="00187B89">
        <w:trPr>
          <w:trHeight w:val="444"/>
          <w:jc w:val="center"/>
        </w:trPr>
        <w:tc>
          <w:tcPr>
            <w:tcW w:w="7441" w:type="dxa"/>
            <w:gridSpan w:val="4"/>
            <w:tcBorders>
              <w:top w:val="nil"/>
              <w:left w:val="nil"/>
              <w:bottom w:val="nil"/>
              <w:right w:val="nil"/>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36"/>
                <w:szCs w:val="36"/>
              </w:rPr>
            </w:pPr>
            <w:r>
              <w:rPr>
                <w:rFonts w:ascii="仿宋_GB2312" w:eastAsia="仿宋_GB2312" w:hAnsi="仿宋_GB2312" w:cs="仿宋_GB2312" w:hint="eastAsia"/>
                <w:color w:val="000000"/>
                <w:kern w:val="0"/>
                <w:sz w:val="32"/>
                <w:szCs w:val="32"/>
              </w:rPr>
              <w:t>交通银行深圳分行</w:t>
            </w:r>
          </w:p>
        </w:tc>
      </w:tr>
      <w:tr w:rsidR="00CD2278" w:rsidTr="00187B89">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部门名称</w:t>
            </w:r>
          </w:p>
        </w:tc>
        <w:tc>
          <w:tcPr>
            <w:tcW w:w="2161"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姓名</w:t>
            </w:r>
          </w:p>
        </w:tc>
        <w:tc>
          <w:tcPr>
            <w:tcW w:w="3160" w:type="dxa"/>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联系方式</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国际业务部</w:t>
            </w:r>
          </w:p>
        </w:tc>
        <w:tc>
          <w:tcPr>
            <w:tcW w:w="2161" w:type="dxa"/>
            <w:gridSpan w:val="2"/>
            <w:tcBorders>
              <w:top w:val="single" w:sz="4" w:space="0" w:color="auto"/>
              <w:left w:val="nil"/>
              <w:bottom w:val="single" w:sz="4" w:space="0" w:color="auto"/>
              <w:right w:val="single" w:sz="4" w:space="0" w:color="000000"/>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殷瑜</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88020323/18938062985</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公司业务部</w:t>
            </w:r>
          </w:p>
        </w:tc>
        <w:tc>
          <w:tcPr>
            <w:tcW w:w="2161"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徐慎</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88020160/13534156265</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普惠金融部</w:t>
            </w:r>
          </w:p>
        </w:tc>
        <w:tc>
          <w:tcPr>
            <w:tcW w:w="2161"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孟祥鹏</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88020385/13699756698</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投资银行部</w:t>
            </w:r>
          </w:p>
        </w:tc>
        <w:tc>
          <w:tcPr>
            <w:tcW w:w="2161"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王国萍</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88020790/18676780923</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大客户一部</w:t>
            </w:r>
          </w:p>
        </w:tc>
        <w:tc>
          <w:tcPr>
            <w:tcW w:w="2161"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张泷</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880201779/18128872096</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大客户二部</w:t>
            </w:r>
          </w:p>
        </w:tc>
        <w:tc>
          <w:tcPr>
            <w:tcW w:w="2161" w:type="dxa"/>
            <w:gridSpan w:val="2"/>
            <w:tcBorders>
              <w:top w:val="single" w:sz="4" w:space="0" w:color="auto"/>
              <w:left w:val="nil"/>
              <w:bottom w:val="single" w:sz="4" w:space="0" w:color="auto"/>
              <w:right w:val="single" w:sz="4" w:space="0" w:color="000000"/>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杜鹃</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83886630/13632536686</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大客户三部</w:t>
            </w:r>
          </w:p>
        </w:tc>
        <w:tc>
          <w:tcPr>
            <w:tcW w:w="2161" w:type="dxa"/>
            <w:gridSpan w:val="2"/>
            <w:tcBorders>
              <w:top w:val="single" w:sz="4" w:space="0" w:color="auto"/>
              <w:left w:val="nil"/>
              <w:bottom w:val="single" w:sz="4" w:space="0" w:color="auto"/>
              <w:right w:val="single" w:sz="4" w:space="0" w:color="000000"/>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李少平</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83886638/18938062286</w:t>
            </w:r>
          </w:p>
        </w:tc>
      </w:tr>
      <w:tr w:rsidR="00CD2278" w:rsidTr="00187B89">
        <w:trPr>
          <w:trHeight w:val="444"/>
          <w:jc w:val="center"/>
        </w:trPr>
        <w:tc>
          <w:tcPr>
            <w:tcW w:w="7441" w:type="dxa"/>
            <w:gridSpan w:val="4"/>
            <w:tcBorders>
              <w:top w:val="single" w:sz="4" w:space="0" w:color="auto"/>
              <w:left w:val="nil"/>
              <w:bottom w:val="single" w:sz="4" w:space="0" w:color="auto"/>
              <w:right w:val="nil"/>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36"/>
                <w:szCs w:val="36"/>
              </w:rPr>
            </w:pPr>
            <w:r>
              <w:rPr>
                <w:rFonts w:ascii="仿宋_GB2312" w:eastAsia="仿宋_GB2312" w:hAnsi="仿宋_GB2312" w:cs="仿宋_GB2312" w:hint="eastAsia"/>
                <w:color w:val="000000"/>
                <w:kern w:val="0"/>
                <w:sz w:val="28"/>
                <w:szCs w:val="28"/>
              </w:rPr>
              <w:t>交通银行深圳分行网点联系人</w:t>
            </w:r>
          </w:p>
        </w:tc>
      </w:tr>
      <w:tr w:rsidR="00CD2278" w:rsidTr="00187B89">
        <w:trPr>
          <w:trHeight w:val="288"/>
          <w:jc w:val="center"/>
        </w:trPr>
        <w:tc>
          <w:tcPr>
            <w:tcW w:w="2120" w:type="dxa"/>
            <w:vMerge w:val="restart"/>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机构名称</w:t>
            </w:r>
          </w:p>
        </w:tc>
        <w:tc>
          <w:tcPr>
            <w:tcW w:w="932" w:type="dxa"/>
            <w:vMerge w:val="restart"/>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姓名</w:t>
            </w:r>
          </w:p>
        </w:tc>
        <w:tc>
          <w:tcPr>
            <w:tcW w:w="4389" w:type="dxa"/>
            <w:gridSpan w:val="2"/>
            <w:tcBorders>
              <w:top w:val="single" w:sz="4" w:space="0" w:color="auto"/>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联系方式</w:t>
            </w:r>
          </w:p>
        </w:tc>
      </w:tr>
      <w:tr w:rsidR="00CD2278" w:rsidTr="00187B89">
        <w:trPr>
          <w:trHeight w:val="288"/>
          <w:jc w:val="center"/>
        </w:trPr>
        <w:tc>
          <w:tcPr>
            <w:tcW w:w="2120" w:type="dxa"/>
            <w:vMerge/>
            <w:tcBorders>
              <w:top w:val="nil"/>
              <w:left w:val="single" w:sz="4" w:space="0" w:color="auto"/>
              <w:bottom w:val="single" w:sz="4" w:space="0" w:color="auto"/>
              <w:right w:val="single" w:sz="4" w:space="0" w:color="auto"/>
            </w:tcBorders>
            <w:vAlign w:val="center"/>
          </w:tcPr>
          <w:p w:rsidR="00CD2278" w:rsidRDefault="00CD2278" w:rsidP="00187B89">
            <w:pPr>
              <w:widowControl/>
              <w:jc w:val="left"/>
              <w:rPr>
                <w:rFonts w:ascii="仿宋_GB2312" w:eastAsia="仿宋_GB2312" w:hAnsi="仿宋_GB2312" w:cs="仿宋_GB2312"/>
                <w:b/>
                <w:bCs/>
                <w:color w:val="000000"/>
                <w:kern w:val="0"/>
                <w:sz w:val="22"/>
              </w:rPr>
            </w:pPr>
          </w:p>
        </w:tc>
        <w:tc>
          <w:tcPr>
            <w:tcW w:w="932" w:type="dxa"/>
            <w:vMerge/>
            <w:tcBorders>
              <w:top w:val="nil"/>
              <w:left w:val="single" w:sz="4" w:space="0" w:color="auto"/>
              <w:bottom w:val="single" w:sz="4" w:space="0" w:color="auto"/>
              <w:right w:val="single" w:sz="4" w:space="0" w:color="auto"/>
            </w:tcBorders>
            <w:vAlign w:val="center"/>
          </w:tcPr>
          <w:p w:rsidR="00CD2278" w:rsidRDefault="00CD2278" w:rsidP="00187B89">
            <w:pPr>
              <w:widowControl/>
              <w:jc w:val="left"/>
              <w:rPr>
                <w:rFonts w:ascii="仿宋_GB2312" w:eastAsia="仿宋_GB2312" w:hAnsi="仿宋_GB2312" w:cs="仿宋_GB2312"/>
                <w:b/>
                <w:bCs/>
                <w:color w:val="000000"/>
                <w:kern w:val="0"/>
                <w:sz w:val="22"/>
              </w:rPr>
            </w:pP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座机</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b/>
                <w:bCs/>
                <w:color w:val="000000"/>
                <w:kern w:val="0"/>
                <w:sz w:val="22"/>
              </w:rPr>
            </w:pPr>
            <w:r>
              <w:rPr>
                <w:rFonts w:ascii="仿宋_GB2312" w:eastAsia="仿宋_GB2312" w:hAnsi="仿宋_GB2312" w:cs="仿宋_GB2312" w:hint="eastAsia"/>
                <w:b/>
                <w:bCs/>
                <w:color w:val="000000"/>
                <w:kern w:val="0"/>
                <w:sz w:val="22"/>
              </w:rPr>
              <w:t>手机</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前海分行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詹其仁</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85258021</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18938063066</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分行营业部</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方安琪</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88020822</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18100288165</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罗湖支行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刘恩泽</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25469944</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18566668515</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福田支行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刘亚蕾</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83873698</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13590155890</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华融支行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林浩涛</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82707673</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18138833697</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红荔支行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陈立文</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83238295</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18926084046</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南山支行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王亚鹏</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26466850</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18682295194</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科技园支行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秦睿希</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26551775</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18128872114</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龙华支行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吴威</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29677705</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13420950539</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布吉支行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仇鹏</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28537860</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13823125753</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坪山支行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巫嘉祺</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28369511</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18128872401</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光明支行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甘甜</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23699770</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15818689417</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沙井支行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罗皓</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29876192</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18948307002</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深汕支行筹备组</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颜文盛</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25569902</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18926084043</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龙岗支行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黄庭美</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89910630</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18938061836</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大鹏支行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于洋</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83215631</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18938062937</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宝安支行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翁毓虹</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27757611</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15889661389</w:t>
            </w:r>
          </w:p>
        </w:tc>
      </w:tr>
      <w:tr w:rsidR="00CD2278" w:rsidTr="00187B89">
        <w:trPr>
          <w:trHeight w:val="288"/>
          <w:jc w:val="center"/>
        </w:trPr>
        <w:tc>
          <w:tcPr>
            <w:tcW w:w="2120" w:type="dxa"/>
            <w:tcBorders>
              <w:top w:val="nil"/>
              <w:left w:val="single" w:sz="4" w:space="0" w:color="auto"/>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盐田支行</w:t>
            </w:r>
          </w:p>
        </w:tc>
        <w:tc>
          <w:tcPr>
            <w:tcW w:w="932"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詹嘉焕</w:t>
            </w:r>
          </w:p>
        </w:tc>
        <w:tc>
          <w:tcPr>
            <w:tcW w:w="1229"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22324991</w:t>
            </w:r>
          </w:p>
        </w:tc>
        <w:tc>
          <w:tcPr>
            <w:tcW w:w="3160" w:type="dxa"/>
            <w:tcBorders>
              <w:top w:val="nil"/>
              <w:left w:val="nil"/>
              <w:bottom w:val="single" w:sz="4" w:space="0" w:color="auto"/>
              <w:right w:val="single" w:sz="4" w:space="0" w:color="auto"/>
            </w:tcBorders>
            <w:shd w:val="clear" w:color="auto" w:fill="auto"/>
            <w:vAlign w:val="center"/>
          </w:tcPr>
          <w:p w:rsidR="00CD2278" w:rsidRDefault="00CD2278" w:rsidP="00187B89">
            <w:pPr>
              <w:widowControl/>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13144828759</w:t>
            </w:r>
          </w:p>
        </w:tc>
      </w:tr>
    </w:tbl>
    <w:p w:rsidR="00CD2278" w:rsidRDefault="00CD2278" w:rsidP="00CD2278">
      <w:pPr>
        <w:spacing w:line="560" w:lineRule="exact"/>
        <w:jc w:val="left"/>
        <w:rPr>
          <w:rFonts w:ascii="黑体" w:eastAsia="黑体" w:hAnsi="黑体" w:cs="黑体"/>
          <w:sz w:val="32"/>
          <w:szCs w:val="32"/>
        </w:rPr>
      </w:pPr>
    </w:p>
    <w:p w:rsidR="00E844B6" w:rsidRDefault="0026572F"/>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2F" w:rsidRDefault="0026572F" w:rsidP="00CD2278">
      <w:r>
        <w:separator/>
      </w:r>
    </w:p>
  </w:endnote>
  <w:endnote w:type="continuationSeparator" w:id="0">
    <w:p w:rsidR="0026572F" w:rsidRDefault="0026572F" w:rsidP="00C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2F" w:rsidRDefault="0026572F" w:rsidP="00CD2278">
      <w:r>
        <w:separator/>
      </w:r>
    </w:p>
  </w:footnote>
  <w:footnote w:type="continuationSeparator" w:id="0">
    <w:p w:rsidR="0026572F" w:rsidRDefault="0026572F" w:rsidP="00CD2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136D"/>
    <w:multiLevelType w:val="singleLevel"/>
    <w:tmpl w:val="0A1B136D"/>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0"/>
    <w:rsid w:val="0026572F"/>
    <w:rsid w:val="007B5D01"/>
    <w:rsid w:val="00931D50"/>
    <w:rsid w:val="00B201E9"/>
    <w:rsid w:val="00CD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ADB8D-DACF-440D-A763-F995AB26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7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278"/>
    <w:rPr>
      <w:sz w:val="18"/>
      <w:szCs w:val="18"/>
    </w:rPr>
  </w:style>
  <w:style w:type="paragraph" w:styleId="a4">
    <w:name w:val="footer"/>
    <w:basedOn w:val="a"/>
    <w:link w:val="Char0"/>
    <w:uiPriority w:val="99"/>
    <w:unhideWhenUsed/>
    <w:rsid w:val="00CD2278"/>
    <w:pPr>
      <w:tabs>
        <w:tab w:val="center" w:pos="4153"/>
        <w:tab w:val="right" w:pos="8306"/>
      </w:tabs>
      <w:snapToGrid w:val="0"/>
      <w:jc w:val="left"/>
    </w:pPr>
    <w:rPr>
      <w:sz w:val="18"/>
      <w:szCs w:val="18"/>
    </w:rPr>
  </w:style>
  <w:style w:type="character" w:customStyle="1" w:styleId="Char0">
    <w:name w:val="页脚 Char"/>
    <w:basedOn w:val="a0"/>
    <w:link w:val="a4"/>
    <w:uiPriority w:val="99"/>
    <w:rsid w:val="00CD2278"/>
    <w:rPr>
      <w:sz w:val="18"/>
      <w:szCs w:val="18"/>
    </w:rPr>
  </w:style>
  <w:style w:type="paragraph" w:styleId="a5">
    <w:name w:val="List Paragraph"/>
    <w:basedOn w:val="a"/>
    <w:uiPriority w:val="34"/>
    <w:qFormat/>
    <w:rsid w:val="00CD22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2020-05-12T01:53:00Z</dcterms:created>
  <dcterms:modified xsi:type="dcterms:W3CDTF">2020-05-12T01:53:00Z</dcterms:modified>
</cp:coreProperties>
</file>